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913509" w14:textId="239C41CC" w:rsidR="005F4052" w:rsidRDefault="005F4052" w:rsidP="005F4052">
      <w:pPr>
        <w:pStyle w:val="CRCoverPage"/>
        <w:tabs>
          <w:tab w:val="right" w:pos="9639"/>
        </w:tabs>
        <w:spacing w:after="0"/>
        <w:rPr>
          <w:rFonts w:cs="Arial"/>
          <w:b/>
          <w:sz w:val="24"/>
          <w:szCs w:val="24"/>
        </w:rPr>
      </w:pPr>
      <w:bookmarkStart w:id="0" w:name="_Hlk491845607"/>
      <w:r>
        <w:rPr>
          <w:rFonts w:cs="Arial"/>
          <w:b/>
          <w:sz w:val="24"/>
          <w:szCs w:val="24"/>
        </w:rPr>
        <w:t>3GPP TSG-RAN WG4 Meeting #92bis</w:t>
      </w:r>
      <w:r>
        <w:rPr>
          <w:rFonts w:cs="Arial"/>
          <w:b/>
          <w:sz w:val="24"/>
          <w:szCs w:val="24"/>
        </w:rPr>
        <w:tab/>
      </w:r>
      <w:r w:rsidR="002B4CB0" w:rsidRPr="002B4CB0">
        <w:rPr>
          <w:rFonts w:cs="Arial"/>
          <w:b/>
          <w:sz w:val="24"/>
          <w:szCs w:val="24"/>
        </w:rPr>
        <w:t>R4-1911523</w:t>
      </w:r>
      <w:bookmarkStart w:id="1" w:name="_GoBack"/>
      <w:bookmarkEnd w:id="1"/>
    </w:p>
    <w:p w14:paraId="39AC4F05" w14:textId="77777777" w:rsidR="005F4052" w:rsidRPr="0087636F" w:rsidRDefault="005F4052" w:rsidP="005F4052">
      <w:pPr>
        <w:pStyle w:val="CRCoverPage"/>
        <w:tabs>
          <w:tab w:val="right" w:pos="9639"/>
        </w:tabs>
        <w:spacing w:after="0"/>
        <w:rPr>
          <w:rFonts w:cs="Arial"/>
          <w:b/>
          <w:sz w:val="24"/>
          <w:szCs w:val="24"/>
        </w:rPr>
      </w:pPr>
      <w:r>
        <w:rPr>
          <w:rFonts w:cs="Arial"/>
          <w:b/>
          <w:sz w:val="24"/>
          <w:szCs w:val="24"/>
        </w:rPr>
        <w:t>Chongqing</w:t>
      </w:r>
      <w:r w:rsidRPr="00690ADD">
        <w:rPr>
          <w:rFonts w:cs="Arial"/>
          <w:b/>
          <w:sz w:val="24"/>
          <w:szCs w:val="24"/>
        </w:rPr>
        <w:t>,</w:t>
      </w:r>
      <w:r>
        <w:rPr>
          <w:rFonts w:cs="Arial"/>
          <w:b/>
          <w:sz w:val="24"/>
          <w:szCs w:val="24"/>
        </w:rPr>
        <w:t xml:space="preserve"> P.R. China</w:t>
      </w:r>
      <w:r w:rsidRPr="00690ADD">
        <w:rPr>
          <w:rFonts w:cs="Arial"/>
          <w:b/>
          <w:sz w:val="24"/>
          <w:szCs w:val="24"/>
        </w:rPr>
        <w:t xml:space="preserve"> </w:t>
      </w:r>
      <w:r>
        <w:rPr>
          <w:rFonts w:cs="Arial"/>
          <w:b/>
          <w:sz w:val="24"/>
          <w:szCs w:val="24"/>
        </w:rPr>
        <w:t>14</w:t>
      </w:r>
      <w:r w:rsidRPr="006D0B81">
        <w:rPr>
          <w:rFonts w:cs="Arial"/>
          <w:b/>
          <w:sz w:val="24"/>
          <w:szCs w:val="24"/>
          <w:vertAlign w:val="superscript"/>
        </w:rPr>
        <w:t>th</w:t>
      </w:r>
      <w:r>
        <w:rPr>
          <w:rFonts w:cs="Arial"/>
          <w:b/>
          <w:sz w:val="24"/>
          <w:szCs w:val="24"/>
        </w:rPr>
        <w:t xml:space="preserve"> </w:t>
      </w:r>
      <w:r w:rsidRPr="00690ADD">
        <w:rPr>
          <w:rFonts w:cs="Arial"/>
          <w:b/>
          <w:sz w:val="24"/>
          <w:szCs w:val="24"/>
        </w:rPr>
        <w:t xml:space="preserve">– </w:t>
      </w:r>
      <w:r>
        <w:rPr>
          <w:rFonts w:cs="Arial"/>
          <w:b/>
          <w:sz w:val="24"/>
          <w:szCs w:val="24"/>
        </w:rPr>
        <w:t>18</w:t>
      </w:r>
      <w:r w:rsidRPr="006D0B81">
        <w:rPr>
          <w:rFonts w:cs="Arial"/>
          <w:b/>
          <w:sz w:val="24"/>
          <w:szCs w:val="24"/>
          <w:vertAlign w:val="superscript"/>
        </w:rPr>
        <w:t>th</w:t>
      </w:r>
      <w:r>
        <w:rPr>
          <w:rFonts w:cs="Arial"/>
          <w:b/>
          <w:sz w:val="24"/>
          <w:szCs w:val="24"/>
        </w:rPr>
        <w:t xml:space="preserve"> Sept</w:t>
      </w:r>
      <w:r w:rsidRPr="00690ADD">
        <w:rPr>
          <w:rFonts w:cs="Arial"/>
          <w:b/>
          <w:sz w:val="24"/>
          <w:szCs w:val="24"/>
        </w:rPr>
        <w:t xml:space="preserve"> 201</w:t>
      </w:r>
      <w:bookmarkEnd w:id="0"/>
      <w:r>
        <w:rPr>
          <w:rFonts w:cs="Arial"/>
          <w:b/>
          <w:sz w:val="24"/>
          <w:szCs w:val="24"/>
        </w:rPr>
        <w:t>9</w:t>
      </w:r>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06AFC031"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161CE8" w:rsidRPr="00161CE8">
        <w:rPr>
          <w:sz w:val="22"/>
        </w:rPr>
        <w:t>Region 1 Extension for Power Class 3 Operation in FR2</w:t>
      </w:r>
      <w:r w:rsidR="00161CE8">
        <w:rPr>
          <w:sz w:val="22"/>
        </w:rPr>
        <w:t xml:space="preserve"> and output power boosting</w:t>
      </w:r>
    </w:p>
    <w:p w14:paraId="23226DA5" w14:textId="41F4B357"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C67A04" w:rsidRPr="00C67A04">
        <w:rPr>
          <w:b/>
          <w:sz w:val="22"/>
        </w:rPr>
        <w:t>8.14.9</w:t>
      </w:r>
    </w:p>
    <w:p w14:paraId="7AD518C5"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641C2E">
        <w:rPr>
          <w:sz w:val="22"/>
        </w:rPr>
        <w:t>Approval</w:t>
      </w:r>
    </w:p>
    <w:p w14:paraId="5C2448DB" w14:textId="77777777" w:rsidR="0043450E" w:rsidRDefault="0043450E" w:rsidP="0043450E">
      <w:pPr>
        <w:pStyle w:val="Heading1"/>
      </w:pPr>
      <w:r>
        <w:t>1</w:t>
      </w:r>
      <w:r>
        <w:tab/>
        <w:t>Introduction</w:t>
      </w:r>
    </w:p>
    <w:p w14:paraId="0793AC78" w14:textId="0F10DAD6" w:rsidR="00EA3488" w:rsidRDefault="00161CE8" w:rsidP="000B5E8E">
      <w:r>
        <w:t xml:space="preserve">In previous RAN4 meeting a WF [1] was approved aiming to study possible 0 dB MPR region extension from current REGION1 to FR1 like INNER concept [2]. </w:t>
      </w:r>
      <w:r w:rsidR="00266B2E">
        <w:t>Furthermore,</w:t>
      </w:r>
      <w:r>
        <w:t xml:space="preserve"> c</w:t>
      </w:r>
      <w:r w:rsidRPr="00161CE8">
        <w:t xml:space="preserve">ompanies </w:t>
      </w:r>
      <w:r>
        <w:t>were</w:t>
      </w:r>
      <w:r w:rsidRPr="00161CE8">
        <w:t xml:space="preserve"> encouraged to evaluate the impact of removing IBE as gating factor to enable power boosting concept</w:t>
      </w:r>
      <w:r>
        <w:t xml:space="preserve"> [3]. In this paper we present our simulation results for both topics.</w:t>
      </w:r>
    </w:p>
    <w:p w14:paraId="1DB43111" w14:textId="12E98B03" w:rsidR="00161CE8" w:rsidRDefault="00161CE8" w:rsidP="00161CE8">
      <w:pPr>
        <w:pStyle w:val="Heading1"/>
      </w:pPr>
      <w:r>
        <w:t>2</w:t>
      </w:r>
      <w:r>
        <w:tab/>
        <w:t>Discussion</w:t>
      </w:r>
    </w:p>
    <w:p w14:paraId="2486AFD5" w14:textId="7AB91E4C" w:rsidR="00161CE8" w:rsidRDefault="00893896" w:rsidP="00893896">
      <w:pPr>
        <w:pStyle w:val="Heading2"/>
      </w:pPr>
      <w:r>
        <w:t>2.1</w:t>
      </w:r>
      <w:r>
        <w:tab/>
      </w:r>
      <w:r w:rsidRPr="00161CE8">
        <w:t>Region 1 Extension for Power Class 3 Operation</w:t>
      </w:r>
    </w:p>
    <w:p w14:paraId="2ACC398E" w14:textId="190CA39E" w:rsidR="00893896" w:rsidRDefault="00893896" w:rsidP="00893896">
      <w:pPr>
        <w:pStyle w:val="Heading3"/>
      </w:pPr>
      <w:r>
        <w:t>2.1.1</w:t>
      </w:r>
      <w:r>
        <w:tab/>
        <w:t>Background</w:t>
      </w:r>
    </w:p>
    <w:p w14:paraId="14EDA7B0" w14:textId="2F2932B6" w:rsidR="00893896" w:rsidRDefault="00893896" w:rsidP="00893896">
      <w:r>
        <w:t>Figure 1 [1] illustrates nicely the intention of the extension. Current Region 1 is such that the allocation size C</w:t>
      </w:r>
      <w:r w:rsidRPr="00893896">
        <w:rPr>
          <w:vertAlign w:val="subscript"/>
        </w:rPr>
        <w:t>LRB</w:t>
      </w:r>
      <w:r>
        <w:t xml:space="preserve"> is at maximum 1/3 of the </w:t>
      </w:r>
      <w:r w:rsidRPr="00893896">
        <w:t>Maximum transmission bandwidth configuration N</w:t>
      </w:r>
      <w:r w:rsidRPr="00893896">
        <w:rPr>
          <w:vertAlign w:val="subscript"/>
        </w:rPr>
        <w:t>RB</w:t>
      </w:r>
      <w:r>
        <w:rPr>
          <w:vertAlign w:val="subscript"/>
        </w:rPr>
        <w:t xml:space="preserve"> </w:t>
      </w:r>
      <w:r>
        <w:t>and allocation is located on the middle 1/3 of the channel bandwidth. “Inner”-like allocations are such that IMD3 products of the allocation fall always within the channel bandwidth and do not reach the OOB region. Also for “Inner”-like allocations the maximum allocation size C</w:t>
      </w:r>
      <w:r w:rsidRPr="00893896">
        <w:rPr>
          <w:vertAlign w:val="subscript"/>
        </w:rPr>
        <w:t>LRB</w:t>
      </w:r>
      <w:r>
        <w:t xml:space="preserve"> is 1/3 of the </w:t>
      </w:r>
      <w:r w:rsidRPr="00893896">
        <w:t>Maximum transmission bandwidth configuration N</w:t>
      </w:r>
      <w:r w:rsidRPr="00893896">
        <w:rPr>
          <w:vertAlign w:val="subscript"/>
        </w:rPr>
        <w:t>RB</w:t>
      </w:r>
      <w:r>
        <w:rPr>
          <w:vertAlign w:val="subscript"/>
        </w:rPr>
        <w:t xml:space="preserve">  </w:t>
      </w:r>
      <w:r>
        <w:t>and this is the point where Region 1 and “inner” coincide at top part of the triangles in Fig 1. Note also for “Inner”-like allocations MPR</w:t>
      </w:r>
      <w:r w:rsidRPr="00893896">
        <w:rPr>
          <w:vertAlign w:val="subscript"/>
        </w:rPr>
        <w:t xml:space="preserve">narrow </w:t>
      </w:r>
      <w:r>
        <w:t xml:space="preserve">is unchanged. </w:t>
      </w:r>
    </w:p>
    <w:p w14:paraId="3B262935" w14:textId="77777777" w:rsidR="00893896" w:rsidRDefault="00893896" w:rsidP="00893896">
      <w:pPr>
        <w:keepNext/>
        <w:jc w:val="center"/>
      </w:pPr>
      <w:r w:rsidRPr="00893896">
        <w:rPr>
          <w:noProof/>
        </w:rPr>
        <w:drawing>
          <wp:inline distT="0" distB="0" distL="0" distR="0" wp14:anchorId="15929203" wp14:editId="0A88D6E6">
            <wp:extent cx="3291539" cy="2888672"/>
            <wp:effectExtent l="0" t="0" r="4445" b="6985"/>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7"/>
                    <a:stretch>
                      <a:fillRect/>
                    </a:stretch>
                  </pic:blipFill>
                  <pic:spPr>
                    <a:xfrm>
                      <a:off x="0" y="0"/>
                      <a:ext cx="3296012" cy="2892598"/>
                    </a:xfrm>
                    <a:prstGeom prst="rect">
                      <a:avLst/>
                    </a:prstGeom>
                  </pic:spPr>
                </pic:pic>
              </a:graphicData>
            </a:graphic>
          </wp:inline>
        </w:drawing>
      </w:r>
    </w:p>
    <w:p w14:paraId="42FE4DC2" w14:textId="5498070C" w:rsidR="00893896" w:rsidRPr="00893896" w:rsidRDefault="00893896" w:rsidP="00893896">
      <w:pPr>
        <w:pStyle w:val="TH"/>
      </w:pPr>
      <w:r>
        <w:t xml:space="preserve">Figure </w:t>
      </w:r>
      <w:r>
        <w:fldChar w:fldCharType="begin"/>
      </w:r>
      <w:r>
        <w:instrText xml:space="preserve"> SEQ Figure \* ARABIC </w:instrText>
      </w:r>
      <w:r>
        <w:fldChar w:fldCharType="separate"/>
      </w:r>
      <w:r>
        <w:rPr>
          <w:noProof/>
        </w:rPr>
        <w:t>1</w:t>
      </w:r>
      <w:r>
        <w:fldChar w:fldCharType="end"/>
      </w:r>
      <w:r>
        <w:t>: Region 1 vs. "Inner"</w:t>
      </w:r>
    </w:p>
    <w:p w14:paraId="79A44764" w14:textId="7189E3DE" w:rsidR="00C81190" w:rsidRDefault="00C81190" w:rsidP="000B5E8E"/>
    <w:p w14:paraId="51F7A0E0" w14:textId="136BCB91" w:rsidR="00161CE8" w:rsidRDefault="00893896" w:rsidP="00893896">
      <w:pPr>
        <w:pStyle w:val="Heading3"/>
      </w:pPr>
      <w:r>
        <w:t>2.1.2</w:t>
      </w:r>
      <w:r>
        <w:tab/>
        <w:t>Simulation assumptions</w:t>
      </w:r>
    </w:p>
    <w:p w14:paraId="5AC81CCE" w14:textId="77777777" w:rsidR="00533918" w:rsidRDefault="00533918" w:rsidP="00533918">
      <w:r>
        <w:rPr>
          <w:lang w:eastAsia="zh-CN"/>
        </w:rPr>
        <w:t xml:space="preserve">PA calibration point was </w:t>
      </w:r>
      <w:r>
        <w:t xml:space="preserve">100 MHz, 120 kHz, QPSK, DFT-S-OFMA, </w:t>
      </w:r>
      <w:r w:rsidRPr="002A2CB6">
        <w:t>20RB23</w:t>
      </w:r>
      <w:r>
        <w:t>with 0 dB MPR</w:t>
      </w:r>
    </w:p>
    <w:p w14:paraId="4A060292" w14:textId="77777777" w:rsidR="00533918" w:rsidRDefault="00533918" w:rsidP="00533918">
      <w:pPr>
        <w:rPr>
          <w:lang w:eastAsia="zh-CN"/>
        </w:rPr>
      </w:pPr>
      <w:r>
        <w:rPr>
          <w:lang w:eastAsia="zh-CN"/>
        </w:rPr>
        <w:lastRenderedPageBreak/>
        <w:t>IQ-Image and LO leakage = 25 dBc</w:t>
      </w:r>
    </w:p>
    <w:p w14:paraId="296D3D6A" w14:textId="32F9F979" w:rsidR="00533918" w:rsidRDefault="00533918" w:rsidP="00533918">
      <w:pPr>
        <w:rPr>
          <w:lang w:eastAsia="zh-CN"/>
        </w:rPr>
      </w:pPr>
      <w:r>
        <w:rPr>
          <w:lang w:eastAsia="zh-CN"/>
        </w:rPr>
        <w:t>CIM3 = 60 dBc, CIM3=40 dBc was checked no impact to results.</w:t>
      </w:r>
    </w:p>
    <w:p w14:paraId="3AE468C8" w14:textId="561AF73C" w:rsidR="00533918" w:rsidRPr="00533918" w:rsidRDefault="00533918" w:rsidP="00533918">
      <w:r>
        <w:rPr>
          <w:lang w:eastAsia="zh-CN"/>
        </w:rPr>
        <w:t>Standard emission requirements, OBW, SEM, ACLR, Spurious emissions, EVM, IBE (also without IBE in case of boosting)</w:t>
      </w:r>
    </w:p>
    <w:p w14:paraId="1BB0A753" w14:textId="7C2E6B7E" w:rsidR="00893896" w:rsidRDefault="00893896" w:rsidP="00893896">
      <w:pPr>
        <w:pStyle w:val="Heading3"/>
      </w:pPr>
      <w:r>
        <w:t>2.1.3</w:t>
      </w:r>
      <w:r>
        <w:tab/>
        <w:t>Results</w:t>
      </w:r>
    </w:p>
    <w:p w14:paraId="1BDEBE0E" w14:textId="407121CF" w:rsidR="00893896" w:rsidRDefault="00893896" w:rsidP="00893896">
      <w:r>
        <w:t>Firstly, we simulated the needed backoff (BO) and compared it against current FR 2 MPR requirement. Delta was calculated as follows d=MPR – BO and is plotted in Figure 2. Green indicates that MPR is sufficient. Plot for QPSK has some red dots which are at maximum 0.2 dB this would mean that MPR is not sufficient but in</w:t>
      </w:r>
      <w:r w:rsidR="002F259A">
        <w:t xml:space="preserve"> </w:t>
      </w:r>
      <w:r>
        <w:t>case simulation time would have been longer this “noise” would have disappeared hence in our view this “noise” tell that PA calibration point is not too optimistic.</w:t>
      </w:r>
    </w:p>
    <w:p w14:paraId="3AF5DCB0" w14:textId="116292B8" w:rsidR="00893896" w:rsidRPr="00893896" w:rsidRDefault="00893896" w:rsidP="00893896">
      <w:r>
        <w:rPr>
          <w:noProof/>
        </w:rPr>
        <w:drawing>
          <wp:inline distT="0" distB="0" distL="0" distR="0" wp14:anchorId="3BC0C733" wp14:editId="6DA6CE89">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DA368C0" wp14:editId="50F6414D">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DAAF444" w14:textId="5E798A7F" w:rsidR="00161CE8" w:rsidRDefault="00893896" w:rsidP="00893896">
      <w:pPr>
        <w:jc w:val="center"/>
        <w:rPr>
          <w:b/>
        </w:rPr>
      </w:pPr>
      <w:r w:rsidRPr="00893896">
        <w:rPr>
          <w:b/>
        </w:rPr>
        <w:t>Figure 2: delta against current Region 1 MPR.</w:t>
      </w:r>
    </w:p>
    <w:p w14:paraId="77C3180E" w14:textId="4F2AE494" w:rsidR="00893896" w:rsidRDefault="00893896" w:rsidP="00893896">
      <w:r w:rsidRPr="00893896">
        <w:t xml:space="preserve">Then </w:t>
      </w:r>
      <w:r>
        <w:t>we did same exercise against proposed “Inner”-like MPR and delta d=MPR – BO  is presented i</w:t>
      </w:r>
      <w:r w:rsidRPr="00893896">
        <w:t>n Figure 3</w:t>
      </w:r>
      <w:r>
        <w:t xml:space="preserve">. </w:t>
      </w:r>
      <w:r w:rsidR="00BE40E7">
        <w:t>Delta behaviour is very similar as in Figure 2 including the “MPR-noise” coming from limited simulation time. Considering the 0.2 dB noise as 0 dB all simulated BO cases are within the proposed “Inner”-like MPR. Note we simulated all possible allocations.</w:t>
      </w:r>
    </w:p>
    <w:p w14:paraId="2C2FBF61" w14:textId="302DF0A1" w:rsidR="00893896" w:rsidRDefault="00533918" w:rsidP="00893896">
      <w:r>
        <w:rPr>
          <w:noProof/>
        </w:rPr>
        <w:drawing>
          <wp:inline distT="0" distB="0" distL="0" distR="0" wp14:anchorId="4E019247" wp14:editId="2D559E1D">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D750CA7" wp14:editId="3E735D67">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415F02" w14:textId="7183F1CA" w:rsidR="002526AD" w:rsidRDefault="002526AD" w:rsidP="002526AD">
      <w:pPr>
        <w:jc w:val="center"/>
        <w:rPr>
          <w:b/>
        </w:rPr>
      </w:pPr>
      <w:r w:rsidRPr="00893896">
        <w:rPr>
          <w:b/>
        </w:rPr>
        <w:t xml:space="preserve">Figure </w:t>
      </w:r>
      <w:r>
        <w:rPr>
          <w:b/>
        </w:rPr>
        <w:t>3</w:t>
      </w:r>
      <w:r w:rsidRPr="00893896">
        <w:rPr>
          <w:b/>
        </w:rPr>
        <w:t xml:space="preserve">: delta against current </w:t>
      </w:r>
      <w:r>
        <w:rPr>
          <w:b/>
        </w:rPr>
        <w:t>“Inner”-like</w:t>
      </w:r>
      <w:r w:rsidRPr="00893896">
        <w:rPr>
          <w:b/>
        </w:rPr>
        <w:t xml:space="preserve"> MPR.</w:t>
      </w:r>
    </w:p>
    <w:p w14:paraId="13D40BB6" w14:textId="1CE3EB7A" w:rsidR="00BE40E7" w:rsidRDefault="00BE40E7" w:rsidP="00893896">
      <w:r>
        <w:t>Complete set of triangles can be found from Annex.</w:t>
      </w:r>
    </w:p>
    <w:p w14:paraId="6ECD56F9" w14:textId="14DA0706" w:rsidR="00BE40E7" w:rsidRDefault="00BE40E7" w:rsidP="00893896">
      <w:r>
        <w:t>Based on the results presented in this paper we propose.</w:t>
      </w:r>
    </w:p>
    <w:p w14:paraId="0B4C1FF0" w14:textId="778116C5" w:rsidR="00BE40E7" w:rsidRDefault="00BE40E7" w:rsidP="00893896">
      <w:pPr>
        <w:rPr>
          <w:b/>
        </w:rPr>
      </w:pPr>
      <w:r w:rsidRPr="00BE40E7">
        <w:rPr>
          <w:b/>
        </w:rPr>
        <w:t>Proposal: REGION 1 MPR for FR2 is extended as described in [1]</w:t>
      </w:r>
    </w:p>
    <w:p w14:paraId="2E5378C1" w14:textId="43EB93B4" w:rsidR="002526AD" w:rsidRDefault="002526AD" w:rsidP="002526AD">
      <w:pPr>
        <w:pStyle w:val="Heading2"/>
      </w:pPr>
      <w:r>
        <w:lastRenderedPageBreak/>
        <w:t>2.2</w:t>
      </w:r>
      <w:r>
        <w:tab/>
        <w:t>Output power boosting</w:t>
      </w:r>
    </w:p>
    <w:p w14:paraId="3F8E483E" w14:textId="2CAB6E64" w:rsidR="002526AD" w:rsidRDefault="002526AD" w:rsidP="002526AD">
      <w:r>
        <w:t>In this section we present the simulation results for possible output power boosting in case IBE is omitted. Firstly, we checked if IBE really is limiting factor and from Figure 4 we can see that especially for QPSK this is the case. For BPSK it is not so clear that IBE is limiting factor for</w:t>
      </w:r>
      <w:r w:rsidR="00BD54CE">
        <w:t xml:space="preserve"> all</w:t>
      </w:r>
      <w:r>
        <w:t xml:space="preserve"> “Inner”-like MPR.</w:t>
      </w:r>
    </w:p>
    <w:p w14:paraId="40C2E5E6" w14:textId="5AE7EEB4" w:rsidR="002526AD" w:rsidRDefault="00533918" w:rsidP="002526AD">
      <w:r>
        <w:rPr>
          <w:noProof/>
        </w:rPr>
        <w:drawing>
          <wp:inline distT="0" distB="0" distL="0" distR="0" wp14:anchorId="334F35CA" wp14:editId="00CF5CC8">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BD5BD1" wp14:editId="11780E09">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8D2B552" w14:textId="2A262487" w:rsidR="002526AD" w:rsidRDefault="002526AD" w:rsidP="002526AD">
      <w:pPr>
        <w:jc w:val="center"/>
        <w:rPr>
          <w:b/>
        </w:rPr>
      </w:pPr>
      <w:r w:rsidRPr="00893896">
        <w:rPr>
          <w:b/>
        </w:rPr>
        <w:t xml:space="preserve">Figure </w:t>
      </w:r>
      <w:r>
        <w:rPr>
          <w:b/>
        </w:rPr>
        <w:t>4</w:t>
      </w:r>
      <w:r w:rsidRPr="00893896">
        <w:rPr>
          <w:b/>
        </w:rPr>
        <w:t>:</w:t>
      </w:r>
      <w:r>
        <w:rPr>
          <w:b/>
        </w:rPr>
        <w:t xml:space="preserve"> Gating factors from MPR</w:t>
      </w:r>
    </w:p>
    <w:p w14:paraId="145418ED" w14:textId="56349C56" w:rsidR="000D1754" w:rsidRPr="000D1754" w:rsidRDefault="000D1754" w:rsidP="000D1754">
      <w:r w:rsidRPr="000D1754">
        <w:t>In figure</w:t>
      </w:r>
      <w:r>
        <w:t xml:space="preserve"> 5 (Figure 6 is zoomed Figure 5) we present BO difference for the case when IBE was included in simulations against the case when IBE was omitted. Thus the difference is the output power “Boost”. </w:t>
      </w:r>
      <w:r w:rsidR="00BD54CE">
        <w:t xml:space="preserve">From the results we can see that BPSK does </w:t>
      </w:r>
      <w:r w:rsidR="00E10A8E">
        <w:t>not gain</w:t>
      </w:r>
      <w:r w:rsidR="00BD54CE">
        <w:t xml:space="preserve"> much “Boost” if IBE is omitted but QPSK benefits from IBE suspension. Inside “Inner”-like region “Boost” ranges between </w:t>
      </w:r>
      <w:r w:rsidR="00533918">
        <w:t>0.9</w:t>
      </w:r>
      <w:r w:rsidR="00BD54CE">
        <w:t xml:space="preserve"> dB – 1.8 dB but what is also notable is that there are boost opportunities outside “Inner” regions, this maps also to gator Figure 4.</w:t>
      </w:r>
    </w:p>
    <w:p w14:paraId="35953F93" w14:textId="10FBCB1C" w:rsidR="002526AD" w:rsidRDefault="00533918" w:rsidP="002526AD">
      <w:r>
        <w:rPr>
          <w:noProof/>
        </w:rPr>
        <w:drawing>
          <wp:inline distT="0" distB="0" distL="0" distR="0" wp14:anchorId="23DFEF57" wp14:editId="60ED9A92">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6AB991C" wp14:editId="201D99E5">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7DD68A" w14:textId="63308AA7" w:rsidR="00C836C2" w:rsidRDefault="00C836C2" w:rsidP="00C836C2">
      <w:pPr>
        <w:jc w:val="center"/>
        <w:rPr>
          <w:b/>
        </w:rPr>
      </w:pPr>
      <w:r w:rsidRPr="00893896">
        <w:rPr>
          <w:b/>
        </w:rPr>
        <w:t xml:space="preserve">Figure </w:t>
      </w:r>
      <w:r>
        <w:rPr>
          <w:b/>
        </w:rPr>
        <w:t xml:space="preserve">5: </w:t>
      </w:r>
      <w:r w:rsidR="000D1754">
        <w:rPr>
          <w:b/>
        </w:rPr>
        <w:t>Output</w:t>
      </w:r>
      <w:r>
        <w:rPr>
          <w:b/>
        </w:rPr>
        <w:t xml:space="preserve"> power gain (Boost) when IBE is suspended</w:t>
      </w:r>
    </w:p>
    <w:p w14:paraId="58442187" w14:textId="3CB2F565" w:rsidR="00BD54CE" w:rsidRDefault="00533918" w:rsidP="00C836C2">
      <w:pPr>
        <w:jc w:val="center"/>
        <w:rPr>
          <w:b/>
        </w:rPr>
      </w:pPr>
      <w:r>
        <w:rPr>
          <w:noProof/>
        </w:rPr>
        <w:lastRenderedPageBreak/>
        <w:drawing>
          <wp:inline distT="0" distB="0" distL="0" distR="0" wp14:anchorId="387D0B18" wp14:editId="742D5396">
            <wp:extent cx="5410835" cy="4892040"/>
            <wp:effectExtent l="0" t="0" r="0" b="3810"/>
            <wp:docPr id="16" name="Picture 16"/>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23257" cy="4903271"/>
                    </a:xfrm>
                    <a:prstGeom prst="rect">
                      <a:avLst/>
                    </a:prstGeom>
                  </pic:spPr>
                </pic:pic>
              </a:graphicData>
            </a:graphic>
          </wp:inline>
        </w:drawing>
      </w:r>
    </w:p>
    <w:p w14:paraId="6E413E3A" w14:textId="40BFE92D" w:rsidR="00C836C2" w:rsidRDefault="00C836C2" w:rsidP="00C836C2">
      <w:pPr>
        <w:jc w:val="center"/>
      </w:pPr>
    </w:p>
    <w:p w14:paraId="07C2E3CB" w14:textId="73DDD8DB" w:rsidR="000D1754" w:rsidRDefault="000D1754" w:rsidP="00C836C2">
      <w:pPr>
        <w:jc w:val="center"/>
        <w:rPr>
          <w:b/>
        </w:rPr>
      </w:pPr>
      <w:r w:rsidRPr="00893896">
        <w:rPr>
          <w:b/>
        </w:rPr>
        <w:t xml:space="preserve">Figure </w:t>
      </w:r>
      <w:r>
        <w:rPr>
          <w:b/>
        </w:rPr>
        <w:t>6: Zoomed Fig 5 QPSK</w:t>
      </w:r>
    </w:p>
    <w:p w14:paraId="20D53E00" w14:textId="6CF79A6B" w:rsidR="00BD54CE" w:rsidRDefault="00BD54CE" w:rsidP="00BD54CE">
      <w:pPr>
        <w:pStyle w:val="Heading1"/>
      </w:pPr>
      <w:r>
        <w:t>3</w:t>
      </w:r>
      <w:r>
        <w:tab/>
        <w:t>Conclusion</w:t>
      </w:r>
    </w:p>
    <w:p w14:paraId="71EBFC1F" w14:textId="3BB45D42" w:rsidR="00BD54CE" w:rsidRDefault="00BD54CE" w:rsidP="00BD54CE">
      <w:r>
        <w:t xml:space="preserve">In this contribution we have presented simulation results for </w:t>
      </w:r>
      <w:r w:rsidRPr="00BD54CE">
        <w:t>0 dB MPR region extension from current REGION1 to FR1 like INNER concept</w:t>
      </w:r>
      <w:r>
        <w:t xml:space="preserve"> and based on our results we propose</w:t>
      </w:r>
    </w:p>
    <w:p w14:paraId="3FE52489" w14:textId="77777777" w:rsidR="00BD54CE" w:rsidRDefault="00BD54CE" w:rsidP="00BD54CE">
      <w:pPr>
        <w:rPr>
          <w:b/>
        </w:rPr>
      </w:pPr>
      <w:r w:rsidRPr="00BE40E7">
        <w:rPr>
          <w:b/>
        </w:rPr>
        <w:t>Proposal: REGION 1 MPR for FR2 is extended as described in [1]</w:t>
      </w:r>
    </w:p>
    <w:p w14:paraId="116A8E63" w14:textId="0C8B4F6D" w:rsidR="00BD54CE" w:rsidRPr="00BD54CE" w:rsidRDefault="00BD54CE" w:rsidP="00BD54CE">
      <w:r>
        <w:t>We have also presented results for power “Boost” when IBE is suspended. We can see “Boost” opportunities for QPSK but not so much for BPSK.</w:t>
      </w:r>
    </w:p>
    <w:p w14:paraId="4186D51D" w14:textId="0EA18BAD" w:rsidR="00161CE8" w:rsidRDefault="00161CE8" w:rsidP="00161CE8">
      <w:pPr>
        <w:pStyle w:val="Heading1"/>
      </w:pPr>
      <w:r>
        <w:t>4</w:t>
      </w:r>
      <w:r>
        <w:tab/>
        <w:t>References</w:t>
      </w:r>
    </w:p>
    <w:p w14:paraId="66782025" w14:textId="16093A0F" w:rsidR="00161CE8" w:rsidRPr="00161CE8" w:rsidRDefault="00161CE8" w:rsidP="00161CE8">
      <w:r>
        <w:t xml:space="preserve">[1] </w:t>
      </w:r>
      <w:r w:rsidRPr="00161CE8">
        <w:t>R4-1910280</w:t>
      </w:r>
      <w:r>
        <w:t xml:space="preserve">, </w:t>
      </w:r>
      <w:r w:rsidRPr="00161CE8">
        <w:t>WF on Region 1 Extension for Power Class 3 Operation in FR2</w:t>
      </w:r>
      <w:r>
        <w:t xml:space="preserve">, </w:t>
      </w:r>
      <w:r w:rsidRPr="00161CE8">
        <w:t>Skyworks, Nokia, Qualcomm</w:t>
      </w:r>
      <w:r>
        <w:t>, RAN4#92</w:t>
      </w:r>
    </w:p>
    <w:p w14:paraId="5BD603B6" w14:textId="303C0977" w:rsidR="00C81190" w:rsidRDefault="00161CE8" w:rsidP="000B5E8E">
      <w:r>
        <w:t xml:space="preserve">[2] </w:t>
      </w:r>
      <w:r w:rsidRPr="00161CE8">
        <w:t>R4-1909945</w:t>
      </w:r>
      <w:r w:rsidRPr="00161CE8">
        <w:tab/>
        <w:t>Inner RB Allocations Region 1 Extension for Power Class 3 Operation in FR2, R4 #92, Skyworks Solutions Inc</w:t>
      </w:r>
    </w:p>
    <w:p w14:paraId="0A43D461" w14:textId="3CDDB9E7" w:rsidR="00161CE8" w:rsidRDefault="00161CE8" w:rsidP="000B5E8E">
      <w:r>
        <w:t xml:space="preserve">[3] </w:t>
      </w:r>
      <w:r w:rsidRPr="00161CE8">
        <w:t>R4-1909927</w:t>
      </w:r>
      <w:r w:rsidRPr="00161CE8">
        <w:tab/>
        <w:t>Power Boost and IBE in FR2, R4 #92, Qualcomm.</w:t>
      </w:r>
    </w:p>
    <w:p w14:paraId="470B3640" w14:textId="02BAC798" w:rsidR="00C81190" w:rsidRDefault="00533918" w:rsidP="00533918">
      <w:pPr>
        <w:pStyle w:val="Heading1"/>
      </w:pPr>
      <w:r>
        <w:lastRenderedPageBreak/>
        <w:t>Appendix</w:t>
      </w:r>
    </w:p>
    <w:p w14:paraId="5287D295" w14:textId="5F8BDB60" w:rsidR="00533918" w:rsidRDefault="00533918" w:rsidP="00533918">
      <w:r>
        <w:t>Here are plots where needed BO is compared against new 0 dB MPR region proposal. Green indicated that MPR is sufficient.</w:t>
      </w:r>
    </w:p>
    <w:bookmarkStart w:id="2" w:name="_MON_1631642623"/>
    <w:bookmarkEnd w:id="2"/>
    <w:p w14:paraId="77355C94" w14:textId="289015FB" w:rsidR="00533918" w:rsidRDefault="00533918" w:rsidP="00533918">
      <w:r>
        <w:object w:dxaOrig="1513" w:dyaOrig="996" w14:anchorId="233622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8pt" o:ole="">
            <v:imagedata r:id="rId16" o:title=""/>
          </v:shape>
          <o:OLEObject Type="Embed" ProgID="Word.Document.12" ShapeID="_x0000_i1025" DrawAspect="Icon" ObjectID="_1631705875" r:id="rId17">
            <o:FieldCodes>\s</o:FieldCodes>
          </o:OLEObject>
        </w:object>
      </w:r>
      <w:bookmarkStart w:id="3" w:name="_MON_1631642656"/>
      <w:bookmarkEnd w:id="3"/>
      <w:r>
        <w:object w:dxaOrig="1513" w:dyaOrig="996" w14:anchorId="0F4852A7">
          <v:shape id="_x0000_i1026" type="#_x0000_t75" style="width:75.6pt;height:49.8pt" o:ole="">
            <v:imagedata r:id="rId18" o:title=""/>
          </v:shape>
          <o:OLEObject Type="Embed" ProgID="Word.Document.12" ShapeID="_x0000_i1026" DrawAspect="Icon" ObjectID="_1631705876" r:id="rId19">
            <o:FieldCodes>\s</o:FieldCodes>
          </o:OLEObject>
        </w:object>
      </w:r>
      <w:bookmarkStart w:id="4" w:name="_MON_1631642678"/>
      <w:bookmarkEnd w:id="4"/>
      <w:r>
        <w:object w:dxaOrig="1513" w:dyaOrig="996" w14:anchorId="53E24C19">
          <v:shape id="_x0000_i1027" type="#_x0000_t75" style="width:75.6pt;height:49.8pt" o:ole="">
            <v:imagedata r:id="rId20" o:title=""/>
          </v:shape>
          <o:OLEObject Type="Embed" ProgID="Word.Document.12" ShapeID="_x0000_i1027" DrawAspect="Icon" ObjectID="_1631705877" r:id="rId21">
            <o:FieldCodes>\s</o:FieldCodes>
          </o:OLEObject>
        </w:object>
      </w:r>
    </w:p>
    <w:p w14:paraId="3AA811BB" w14:textId="09EC9EC7" w:rsidR="00D773CF" w:rsidRDefault="00D773CF" w:rsidP="00533918">
      <w:r>
        <w:t>Hera are plots for possible Boos</w:t>
      </w:r>
      <w:r w:rsidR="002F259A">
        <w:t>t</w:t>
      </w:r>
      <w:r>
        <w:t xml:space="preserve"> when IBE is suspended.</w:t>
      </w:r>
    </w:p>
    <w:bookmarkStart w:id="5" w:name="_MON_1631643037"/>
    <w:bookmarkEnd w:id="5"/>
    <w:p w14:paraId="595CB572" w14:textId="269165A8" w:rsidR="00D773CF" w:rsidRPr="00533918" w:rsidRDefault="00D773CF" w:rsidP="00533918">
      <w:r>
        <w:object w:dxaOrig="1513" w:dyaOrig="996" w14:anchorId="1FF8C062">
          <v:shape id="_x0000_i1028" type="#_x0000_t75" style="width:75.6pt;height:49.8pt" o:ole="">
            <v:imagedata r:id="rId22" o:title=""/>
          </v:shape>
          <o:OLEObject Type="Embed" ProgID="Word.Document.12" ShapeID="_x0000_i1028" DrawAspect="Icon" ObjectID="_1631705878" r:id="rId23">
            <o:FieldCodes>\s</o:FieldCodes>
          </o:OLEObject>
        </w:object>
      </w:r>
      <w:bookmarkStart w:id="6" w:name="_MON_1631643056"/>
      <w:bookmarkEnd w:id="6"/>
      <w:r>
        <w:object w:dxaOrig="1513" w:dyaOrig="996" w14:anchorId="26BB2ABC">
          <v:shape id="_x0000_i1029" type="#_x0000_t75" style="width:75.6pt;height:49.8pt" o:ole="">
            <v:imagedata r:id="rId24" o:title=""/>
          </v:shape>
          <o:OLEObject Type="Embed" ProgID="Word.Document.12" ShapeID="_x0000_i1029" DrawAspect="Icon" ObjectID="_1631705879" r:id="rId25">
            <o:FieldCodes>\s</o:FieldCodes>
          </o:OLEObject>
        </w:object>
      </w:r>
      <w:bookmarkStart w:id="7" w:name="_MON_1631643081"/>
      <w:bookmarkEnd w:id="7"/>
      <w:r>
        <w:object w:dxaOrig="1513" w:dyaOrig="996" w14:anchorId="32F59900">
          <v:shape id="_x0000_i1030" type="#_x0000_t75" style="width:75.6pt;height:49.8pt" o:ole="">
            <v:imagedata r:id="rId26" o:title=""/>
          </v:shape>
          <o:OLEObject Type="Embed" ProgID="Word.Document.12" ShapeID="_x0000_i1030" DrawAspect="Icon" ObjectID="_1631705880" r:id="rId27">
            <o:FieldCodes>\s</o:FieldCodes>
          </o:OLEObject>
        </w:object>
      </w:r>
    </w:p>
    <w:sectPr w:rsidR="00D773CF" w:rsidRPr="00533918" w:rsidSect="00426A90">
      <w:headerReference w:type="even" r:id="rId28"/>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70DF3C" w14:textId="77777777" w:rsidR="009300A0" w:rsidRDefault="009300A0" w:rsidP="002B3503">
      <w:pPr>
        <w:spacing w:after="0"/>
      </w:pPr>
      <w:r>
        <w:separator/>
      </w:r>
    </w:p>
  </w:endnote>
  <w:endnote w:type="continuationSeparator" w:id="0">
    <w:p w14:paraId="69AAA097" w14:textId="77777777" w:rsidR="009300A0" w:rsidRDefault="009300A0"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4E7F4E" w14:textId="77777777" w:rsidR="009300A0" w:rsidRDefault="009300A0" w:rsidP="002B3503">
      <w:pPr>
        <w:spacing w:after="0"/>
      </w:pPr>
      <w:r>
        <w:separator/>
      </w:r>
    </w:p>
  </w:footnote>
  <w:footnote w:type="continuationSeparator" w:id="0">
    <w:p w14:paraId="5ED90BCC" w14:textId="77777777" w:rsidR="009300A0" w:rsidRDefault="009300A0"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91F0B"/>
    <w:rsid w:val="000A6473"/>
    <w:rsid w:val="000B4E56"/>
    <w:rsid w:val="000B5E8E"/>
    <w:rsid w:val="000D1754"/>
    <w:rsid w:val="000F2546"/>
    <w:rsid w:val="000F50EC"/>
    <w:rsid w:val="00101626"/>
    <w:rsid w:val="001364A1"/>
    <w:rsid w:val="0015000E"/>
    <w:rsid w:val="0016131F"/>
    <w:rsid w:val="00161CE8"/>
    <w:rsid w:val="001953B8"/>
    <w:rsid w:val="002127E2"/>
    <w:rsid w:val="00214C87"/>
    <w:rsid w:val="00215035"/>
    <w:rsid w:val="002526AD"/>
    <w:rsid w:val="00266B2E"/>
    <w:rsid w:val="00291DDD"/>
    <w:rsid w:val="002A7181"/>
    <w:rsid w:val="002B00B6"/>
    <w:rsid w:val="002B3503"/>
    <w:rsid w:val="002B4CB0"/>
    <w:rsid w:val="002F259A"/>
    <w:rsid w:val="002F6A38"/>
    <w:rsid w:val="00347DEA"/>
    <w:rsid w:val="003777FE"/>
    <w:rsid w:val="0042109F"/>
    <w:rsid w:val="00426A90"/>
    <w:rsid w:val="0043450E"/>
    <w:rsid w:val="00453BA5"/>
    <w:rsid w:val="00454E53"/>
    <w:rsid w:val="00482477"/>
    <w:rsid w:val="00491386"/>
    <w:rsid w:val="00494F18"/>
    <w:rsid w:val="004A41DA"/>
    <w:rsid w:val="004C0103"/>
    <w:rsid w:val="004C58F9"/>
    <w:rsid w:val="004D0C67"/>
    <w:rsid w:val="004D3D81"/>
    <w:rsid w:val="00533918"/>
    <w:rsid w:val="00560A63"/>
    <w:rsid w:val="00564B2E"/>
    <w:rsid w:val="00570B14"/>
    <w:rsid w:val="005B2640"/>
    <w:rsid w:val="005F4052"/>
    <w:rsid w:val="005F6CE3"/>
    <w:rsid w:val="00602EB6"/>
    <w:rsid w:val="00610908"/>
    <w:rsid w:val="00641C2E"/>
    <w:rsid w:val="00641E1F"/>
    <w:rsid w:val="00664DF6"/>
    <w:rsid w:val="006919C7"/>
    <w:rsid w:val="006C6840"/>
    <w:rsid w:val="00726265"/>
    <w:rsid w:val="00734EBD"/>
    <w:rsid w:val="007D20DF"/>
    <w:rsid w:val="008236E4"/>
    <w:rsid w:val="00850296"/>
    <w:rsid w:val="00893896"/>
    <w:rsid w:val="008A4493"/>
    <w:rsid w:val="0091383D"/>
    <w:rsid w:val="009300A0"/>
    <w:rsid w:val="00940559"/>
    <w:rsid w:val="00996062"/>
    <w:rsid w:val="009B1E68"/>
    <w:rsid w:val="00A451E8"/>
    <w:rsid w:val="00A6018C"/>
    <w:rsid w:val="00AE6327"/>
    <w:rsid w:val="00AF7CB0"/>
    <w:rsid w:val="00B4385F"/>
    <w:rsid w:val="00B65B59"/>
    <w:rsid w:val="00BC764C"/>
    <w:rsid w:val="00BD54CE"/>
    <w:rsid w:val="00BE40E7"/>
    <w:rsid w:val="00BF4B17"/>
    <w:rsid w:val="00C21554"/>
    <w:rsid w:val="00C67A04"/>
    <w:rsid w:val="00C81190"/>
    <w:rsid w:val="00C836C2"/>
    <w:rsid w:val="00D275CC"/>
    <w:rsid w:val="00D767C4"/>
    <w:rsid w:val="00D773CF"/>
    <w:rsid w:val="00D77CF5"/>
    <w:rsid w:val="00E10A8E"/>
    <w:rsid w:val="00E33B68"/>
    <w:rsid w:val="00E5602A"/>
    <w:rsid w:val="00E77C7D"/>
    <w:rsid w:val="00E962C5"/>
    <w:rsid w:val="00EA3488"/>
    <w:rsid w:val="00EB5F7D"/>
    <w:rsid w:val="00EC589F"/>
    <w:rsid w:val="00F97D64"/>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B4CB0"/>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2B4C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2B4CB0"/>
    <w:pPr>
      <w:pBdr>
        <w:top w:val="none" w:sz="0" w:space="0" w:color="auto"/>
      </w:pBdr>
      <w:spacing w:before="180"/>
      <w:outlineLvl w:val="1"/>
    </w:pPr>
    <w:rPr>
      <w:sz w:val="32"/>
    </w:rPr>
  </w:style>
  <w:style w:type="paragraph" w:styleId="Heading3">
    <w:name w:val="heading 3"/>
    <w:basedOn w:val="Heading2"/>
    <w:next w:val="Normal"/>
    <w:qFormat/>
    <w:rsid w:val="002B4CB0"/>
    <w:pPr>
      <w:spacing w:before="120"/>
      <w:outlineLvl w:val="2"/>
    </w:pPr>
    <w:rPr>
      <w:sz w:val="28"/>
    </w:rPr>
  </w:style>
  <w:style w:type="paragraph" w:styleId="Heading4">
    <w:name w:val="heading 4"/>
    <w:basedOn w:val="Heading3"/>
    <w:next w:val="Normal"/>
    <w:qFormat/>
    <w:rsid w:val="002B4CB0"/>
    <w:pPr>
      <w:ind w:left="1418" w:hanging="1418"/>
      <w:outlineLvl w:val="3"/>
    </w:pPr>
    <w:rPr>
      <w:sz w:val="24"/>
    </w:rPr>
  </w:style>
  <w:style w:type="paragraph" w:styleId="Heading5">
    <w:name w:val="heading 5"/>
    <w:basedOn w:val="Heading4"/>
    <w:next w:val="Normal"/>
    <w:qFormat/>
    <w:rsid w:val="002B4CB0"/>
    <w:pPr>
      <w:ind w:left="1701" w:hanging="1701"/>
      <w:outlineLvl w:val="4"/>
    </w:pPr>
    <w:rPr>
      <w:sz w:val="22"/>
    </w:rPr>
  </w:style>
  <w:style w:type="paragraph" w:styleId="Heading6">
    <w:name w:val="heading 6"/>
    <w:basedOn w:val="H6"/>
    <w:next w:val="Normal"/>
    <w:qFormat/>
    <w:rsid w:val="002B4CB0"/>
    <w:pPr>
      <w:outlineLvl w:val="5"/>
    </w:pPr>
  </w:style>
  <w:style w:type="paragraph" w:styleId="Heading7">
    <w:name w:val="heading 7"/>
    <w:basedOn w:val="H6"/>
    <w:next w:val="Normal"/>
    <w:qFormat/>
    <w:rsid w:val="002B4CB0"/>
    <w:pPr>
      <w:outlineLvl w:val="6"/>
    </w:pPr>
  </w:style>
  <w:style w:type="paragraph" w:styleId="Heading8">
    <w:name w:val="heading 8"/>
    <w:basedOn w:val="Heading1"/>
    <w:next w:val="Normal"/>
    <w:qFormat/>
    <w:rsid w:val="002B4CB0"/>
    <w:pPr>
      <w:ind w:left="0" w:firstLine="0"/>
      <w:outlineLvl w:val="7"/>
    </w:pPr>
  </w:style>
  <w:style w:type="paragraph" w:styleId="Heading9">
    <w:name w:val="heading 9"/>
    <w:basedOn w:val="Heading8"/>
    <w:next w:val="Normal"/>
    <w:qFormat/>
    <w:rsid w:val="002B4CB0"/>
    <w:pPr>
      <w:outlineLvl w:val="8"/>
    </w:pPr>
  </w:style>
  <w:style w:type="character" w:default="1" w:styleId="DefaultParagraphFont">
    <w:name w:val="Default Paragraph Font"/>
    <w:semiHidden/>
    <w:rsid w:val="002B4CB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B4CB0"/>
  </w:style>
  <w:style w:type="paragraph" w:styleId="TOC8">
    <w:name w:val="toc 8"/>
    <w:basedOn w:val="TOC1"/>
    <w:semiHidden/>
    <w:rsid w:val="002B4CB0"/>
    <w:pPr>
      <w:spacing w:before="180"/>
      <w:ind w:left="2693" w:hanging="2693"/>
    </w:pPr>
    <w:rPr>
      <w:b/>
    </w:rPr>
  </w:style>
  <w:style w:type="paragraph" w:styleId="TOC1">
    <w:name w:val="toc 1"/>
    <w:semiHidden/>
    <w:rsid w:val="002B4C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2B4CB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B4CB0"/>
    <w:pPr>
      <w:ind w:left="1701" w:hanging="1701"/>
    </w:pPr>
  </w:style>
  <w:style w:type="paragraph" w:styleId="TOC4">
    <w:name w:val="toc 4"/>
    <w:basedOn w:val="TOC3"/>
    <w:semiHidden/>
    <w:rsid w:val="002B4CB0"/>
    <w:pPr>
      <w:ind w:left="1418" w:hanging="1418"/>
    </w:pPr>
  </w:style>
  <w:style w:type="paragraph" w:styleId="TOC3">
    <w:name w:val="toc 3"/>
    <w:basedOn w:val="TOC2"/>
    <w:semiHidden/>
    <w:rsid w:val="002B4CB0"/>
    <w:pPr>
      <w:ind w:left="1134" w:hanging="1134"/>
    </w:pPr>
  </w:style>
  <w:style w:type="paragraph" w:styleId="TOC2">
    <w:name w:val="toc 2"/>
    <w:basedOn w:val="TOC1"/>
    <w:semiHidden/>
    <w:rsid w:val="002B4CB0"/>
    <w:pPr>
      <w:keepNext w:val="0"/>
      <w:spacing w:before="0"/>
      <w:ind w:left="851" w:hanging="851"/>
    </w:pPr>
    <w:rPr>
      <w:sz w:val="20"/>
    </w:rPr>
  </w:style>
  <w:style w:type="paragraph" w:styleId="Index2">
    <w:name w:val="index 2"/>
    <w:basedOn w:val="Index1"/>
    <w:semiHidden/>
    <w:rsid w:val="002B4CB0"/>
    <w:pPr>
      <w:ind w:left="284"/>
    </w:pPr>
  </w:style>
  <w:style w:type="paragraph" w:styleId="Index1">
    <w:name w:val="index 1"/>
    <w:basedOn w:val="Normal"/>
    <w:semiHidden/>
    <w:rsid w:val="002B4CB0"/>
    <w:pPr>
      <w:keepLines/>
      <w:spacing w:after="0"/>
    </w:pPr>
  </w:style>
  <w:style w:type="paragraph" w:customStyle="1" w:styleId="ZH">
    <w:name w:val="ZH"/>
    <w:rsid w:val="002B4CB0"/>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2B4CB0"/>
    <w:pPr>
      <w:outlineLvl w:val="9"/>
    </w:pPr>
  </w:style>
  <w:style w:type="paragraph" w:styleId="ListNumber2">
    <w:name w:val="List Number 2"/>
    <w:basedOn w:val="ListNumber"/>
    <w:semiHidden/>
    <w:rsid w:val="002B4CB0"/>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B4CB0"/>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2B4CB0"/>
    <w:rPr>
      <w:b/>
      <w:position w:val="6"/>
      <w:sz w:val="16"/>
    </w:rPr>
  </w:style>
  <w:style w:type="paragraph" w:styleId="FootnoteText">
    <w:name w:val="footnote text"/>
    <w:basedOn w:val="Normal"/>
    <w:semiHidden/>
    <w:rsid w:val="002B4CB0"/>
    <w:pPr>
      <w:keepLines/>
      <w:spacing w:after="0"/>
      <w:ind w:left="454" w:hanging="454"/>
    </w:pPr>
    <w:rPr>
      <w:sz w:val="16"/>
    </w:rPr>
  </w:style>
  <w:style w:type="paragraph" w:customStyle="1" w:styleId="TAH">
    <w:name w:val="TAH"/>
    <w:basedOn w:val="TAC"/>
    <w:link w:val="TAHCar"/>
    <w:rsid w:val="002B4CB0"/>
    <w:rPr>
      <w:b/>
    </w:rPr>
  </w:style>
  <w:style w:type="paragraph" w:customStyle="1" w:styleId="TAC">
    <w:name w:val="TAC"/>
    <w:basedOn w:val="TAL"/>
    <w:link w:val="TACChar"/>
    <w:rsid w:val="002B4CB0"/>
    <w:pPr>
      <w:jc w:val="center"/>
    </w:pPr>
  </w:style>
  <w:style w:type="paragraph" w:customStyle="1" w:styleId="TF">
    <w:name w:val="TF"/>
    <w:basedOn w:val="TH"/>
    <w:rsid w:val="002B4CB0"/>
    <w:pPr>
      <w:keepNext w:val="0"/>
      <w:spacing w:before="0" w:after="240"/>
    </w:pPr>
  </w:style>
  <w:style w:type="paragraph" w:customStyle="1" w:styleId="NO">
    <w:name w:val="NO"/>
    <w:basedOn w:val="Normal"/>
    <w:rsid w:val="002B4CB0"/>
    <w:pPr>
      <w:keepLines/>
      <w:ind w:left="1135" w:hanging="851"/>
    </w:pPr>
  </w:style>
  <w:style w:type="paragraph" w:styleId="TOC9">
    <w:name w:val="toc 9"/>
    <w:basedOn w:val="TOC8"/>
    <w:semiHidden/>
    <w:rsid w:val="002B4CB0"/>
    <w:pPr>
      <w:ind w:left="1418" w:hanging="1418"/>
    </w:pPr>
  </w:style>
  <w:style w:type="paragraph" w:customStyle="1" w:styleId="EX">
    <w:name w:val="EX"/>
    <w:basedOn w:val="Normal"/>
    <w:rsid w:val="002B4CB0"/>
    <w:pPr>
      <w:keepLines/>
      <w:ind w:left="1702" w:hanging="1418"/>
    </w:pPr>
  </w:style>
  <w:style w:type="paragraph" w:customStyle="1" w:styleId="FP">
    <w:name w:val="FP"/>
    <w:basedOn w:val="Normal"/>
    <w:rsid w:val="002B4CB0"/>
    <w:pPr>
      <w:spacing w:after="0"/>
    </w:pPr>
  </w:style>
  <w:style w:type="paragraph" w:customStyle="1" w:styleId="LD">
    <w:name w:val="LD"/>
    <w:rsid w:val="002B4CB0"/>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2B4CB0"/>
    <w:pPr>
      <w:spacing w:after="0"/>
    </w:pPr>
  </w:style>
  <w:style w:type="paragraph" w:customStyle="1" w:styleId="EW">
    <w:name w:val="EW"/>
    <w:basedOn w:val="EX"/>
    <w:rsid w:val="002B4CB0"/>
    <w:pPr>
      <w:spacing w:after="0"/>
    </w:pPr>
  </w:style>
  <w:style w:type="paragraph" w:styleId="TOC6">
    <w:name w:val="toc 6"/>
    <w:basedOn w:val="TOC5"/>
    <w:next w:val="Normal"/>
    <w:semiHidden/>
    <w:rsid w:val="002B4CB0"/>
    <w:pPr>
      <w:ind w:left="1985" w:hanging="1985"/>
    </w:pPr>
  </w:style>
  <w:style w:type="paragraph" w:styleId="TOC7">
    <w:name w:val="toc 7"/>
    <w:basedOn w:val="TOC6"/>
    <w:next w:val="Normal"/>
    <w:semiHidden/>
    <w:rsid w:val="002B4CB0"/>
    <w:pPr>
      <w:ind w:left="2268" w:hanging="2268"/>
    </w:pPr>
  </w:style>
  <w:style w:type="paragraph" w:styleId="ListBullet2">
    <w:name w:val="List Bullet 2"/>
    <w:basedOn w:val="ListBullet"/>
    <w:semiHidden/>
    <w:rsid w:val="002B4CB0"/>
    <w:pPr>
      <w:ind w:left="851"/>
    </w:pPr>
  </w:style>
  <w:style w:type="paragraph" w:styleId="ListBullet3">
    <w:name w:val="List Bullet 3"/>
    <w:basedOn w:val="ListBullet2"/>
    <w:semiHidden/>
    <w:rsid w:val="002B4CB0"/>
    <w:pPr>
      <w:ind w:left="1135"/>
    </w:pPr>
  </w:style>
  <w:style w:type="paragraph" w:styleId="ListNumber">
    <w:name w:val="List Number"/>
    <w:basedOn w:val="List"/>
    <w:semiHidden/>
    <w:rsid w:val="002B4CB0"/>
  </w:style>
  <w:style w:type="paragraph" w:customStyle="1" w:styleId="EQ">
    <w:name w:val="EQ"/>
    <w:basedOn w:val="Normal"/>
    <w:next w:val="Normal"/>
    <w:rsid w:val="002B4CB0"/>
    <w:pPr>
      <w:keepLines/>
      <w:tabs>
        <w:tab w:val="center" w:pos="4536"/>
        <w:tab w:val="right" w:pos="9072"/>
      </w:tabs>
    </w:pPr>
    <w:rPr>
      <w:noProof/>
    </w:rPr>
  </w:style>
  <w:style w:type="paragraph" w:customStyle="1" w:styleId="TH">
    <w:name w:val="TH"/>
    <w:basedOn w:val="Normal"/>
    <w:rsid w:val="002B4CB0"/>
    <w:pPr>
      <w:keepNext/>
      <w:keepLines/>
      <w:spacing w:before="60"/>
      <w:jc w:val="center"/>
    </w:pPr>
    <w:rPr>
      <w:rFonts w:ascii="Arial" w:hAnsi="Arial"/>
      <w:b/>
    </w:rPr>
  </w:style>
  <w:style w:type="paragraph" w:customStyle="1" w:styleId="NF">
    <w:name w:val="NF"/>
    <w:basedOn w:val="NO"/>
    <w:rsid w:val="002B4CB0"/>
    <w:pPr>
      <w:keepNext/>
      <w:spacing w:after="0"/>
    </w:pPr>
    <w:rPr>
      <w:rFonts w:ascii="Arial" w:hAnsi="Arial"/>
      <w:sz w:val="18"/>
    </w:rPr>
  </w:style>
  <w:style w:type="paragraph" w:customStyle="1" w:styleId="PL">
    <w:name w:val="PL"/>
    <w:rsid w:val="002B4C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B4CB0"/>
    <w:pPr>
      <w:jc w:val="right"/>
    </w:pPr>
  </w:style>
  <w:style w:type="paragraph" w:customStyle="1" w:styleId="H6">
    <w:name w:val="H6"/>
    <w:basedOn w:val="Heading5"/>
    <w:next w:val="Normal"/>
    <w:rsid w:val="002B4CB0"/>
    <w:pPr>
      <w:ind w:left="1985" w:hanging="1985"/>
      <w:outlineLvl w:val="9"/>
    </w:pPr>
    <w:rPr>
      <w:sz w:val="20"/>
    </w:rPr>
  </w:style>
  <w:style w:type="paragraph" w:customStyle="1" w:styleId="TAN">
    <w:name w:val="TAN"/>
    <w:basedOn w:val="TAL"/>
    <w:rsid w:val="002B4CB0"/>
    <w:pPr>
      <w:ind w:left="851" w:hanging="851"/>
    </w:pPr>
  </w:style>
  <w:style w:type="paragraph" w:customStyle="1" w:styleId="TAL">
    <w:name w:val="TAL"/>
    <w:basedOn w:val="Normal"/>
    <w:rsid w:val="002B4CB0"/>
    <w:pPr>
      <w:keepNext/>
      <w:keepLines/>
      <w:spacing w:after="0"/>
    </w:pPr>
    <w:rPr>
      <w:rFonts w:ascii="Arial" w:hAnsi="Arial"/>
      <w:sz w:val="18"/>
    </w:rPr>
  </w:style>
  <w:style w:type="paragraph" w:customStyle="1" w:styleId="ZA">
    <w:name w:val="ZA"/>
    <w:rsid w:val="002B4C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B4C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2B4CB0"/>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2B4C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2B4CB0"/>
    <w:pPr>
      <w:framePr w:wrap="notBeside" w:y="16161"/>
    </w:pPr>
  </w:style>
  <w:style w:type="character" w:customStyle="1" w:styleId="ZGSM">
    <w:name w:val="ZGSM"/>
    <w:rsid w:val="002B4CB0"/>
  </w:style>
  <w:style w:type="paragraph" w:styleId="List2">
    <w:name w:val="List 2"/>
    <w:basedOn w:val="List"/>
    <w:semiHidden/>
    <w:rsid w:val="002B4CB0"/>
    <w:pPr>
      <w:ind w:left="851"/>
    </w:pPr>
  </w:style>
  <w:style w:type="paragraph" w:customStyle="1" w:styleId="ZG">
    <w:name w:val="ZG"/>
    <w:rsid w:val="002B4CB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2B4CB0"/>
    <w:pPr>
      <w:ind w:left="1135"/>
    </w:pPr>
  </w:style>
  <w:style w:type="paragraph" w:styleId="List4">
    <w:name w:val="List 4"/>
    <w:basedOn w:val="List3"/>
    <w:semiHidden/>
    <w:rsid w:val="002B4CB0"/>
    <w:pPr>
      <w:ind w:left="1418"/>
    </w:pPr>
  </w:style>
  <w:style w:type="paragraph" w:styleId="List5">
    <w:name w:val="List 5"/>
    <w:basedOn w:val="List4"/>
    <w:semiHidden/>
    <w:rsid w:val="002B4CB0"/>
    <w:pPr>
      <w:ind w:left="1702"/>
    </w:pPr>
  </w:style>
  <w:style w:type="paragraph" w:customStyle="1" w:styleId="EditorsNote">
    <w:name w:val="Editor's Note"/>
    <w:basedOn w:val="NO"/>
    <w:rsid w:val="002B4CB0"/>
    <w:rPr>
      <w:color w:val="FF0000"/>
    </w:rPr>
  </w:style>
  <w:style w:type="paragraph" w:styleId="List">
    <w:name w:val="List"/>
    <w:basedOn w:val="Normal"/>
    <w:semiHidden/>
    <w:rsid w:val="002B4CB0"/>
    <w:pPr>
      <w:ind w:left="568" w:hanging="284"/>
    </w:pPr>
  </w:style>
  <w:style w:type="paragraph" w:styleId="ListBullet">
    <w:name w:val="List Bullet"/>
    <w:basedOn w:val="List"/>
    <w:semiHidden/>
    <w:rsid w:val="002B4CB0"/>
  </w:style>
  <w:style w:type="paragraph" w:styleId="ListBullet4">
    <w:name w:val="List Bullet 4"/>
    <w:basedOn w:val="ListBullet3"/>
    <w:semiHidden/>
    <w:rsid w:val="002B4CB0"/>
    <w:pPr>
      <w:ind w:left="1418"/>
    </w:pPr>
  </w:style>
  <w:style w:type="paragraph" w:styleId="ListBullet5">
    <w:name w:val="List Bullet 5"/>
    <w:basedOn w:val="ListBullet4"/>
    <w:semiHidden/>
    <w:rsid w:val="002B4CB0"/>
    <w:pPr>
      <w:ind w:left="1702"/>
    </w:pPr>
  </w:style>
  <w:style w:type="paragraph" w:customStyle="1" w:styleId="B1">
    <w:name w:val="B1"/>
    <w:basedOn w:val="List"/>
    <w:rsid w:val="002B4CB0"/>
  </w:style>
  <w:style w:type="paragraph" w:customStyle="1" w:styleId="B2">
    <w:name w:val="B2"/>
    <w:basedOn w:val="List2"/>
    <w:rsid w:val="002B4CB0"/>
  </w:style>
  <w:style w:type="paragraph" w:customStyle="1" w:styleId="B3">
    <w:name w:val="B3"/>
    <w:basedOn w:val="List3"/>
    <w:rsid w:val="002B4CB0"/>
  </w:style>
  <w:style w:type="paragraph" w:customStyle="1" w:styleId="B4">
    <w:name w:val="B4"/>
    <w:basedOn w:val="List4"/>
    <w:rsid w:val="002B4CB0"/>
  </w:style>
  <w:style w:type="paragraph" w:customStyle="1" w:styleId="B5">
    <w:name w:val="B5"/>
    <w:basedOn w:val="List5"/>
    <w:rsid w:val="002B4CB0"/>
  </w:style>
  <w:style w:type="paragraph" w:styleId="Footer">
    <w:name w:val="footer"/>
    <w:basedOn w:val="Header"/>
    <w:semiHidden/>
    <w:rsid w:val="002B4CB0"/>
    <w:pPr>
      <w:jc w:val="center"/>
    </w:pPr>
    <w:rPr>
      <w:i/>
    </w:rPr>
  </w:style>
  <w:style w:type="paragraph" w:customStyle="1" w:styleId="ZTD">
    <w:name w:val="ZTD"/>
    <w:basedOn w:val="ZB"/>
    <w:rsid w:val="002B4CB0"/>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paragraph" w:styleId="Revision">
    <w:name w:val="Revision"/>
    <w:hidden/>
    <w:uiPriority w:val="99"/>
    <w:semiHidden/>
    <w:rsid w:val="00BD54C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package" Target="embeddings/Microsoft_Word_Document2.docx"/><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package" Target="embeddings/Microsoft_Word_Document.docx"/><Relationship Id="rId25" Type="http://schemas.openxmlformats.org/officeDocument/2006/relationships/package" Target="embeddings/Microsoft_Word_Document4.docx"/><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2.em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em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package" Target="embeddings/Microsoft_Word_Document3.docx"/><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package" Target="embeddings/Microsoft_Word_Document1.docx"/><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emf"/><Relationship Id="rId27" Type="http://schemas.openxmlformats.org/officeDocument/2006/relationships/package" Target="embeddings/Microsoft_Word_Document5.docx"/><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Pages>
  <Words>801</Words>
  <Characters>4177</Characters>
  <Application>Microsoft Office Word</Application>
  <DocSecurity>0</DocSecurity>
  <Lines>34</Lines>
  <Paragraphs>9</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cp:lastModifiedBy>
  <cp:revision>2</cp:revision>
  <cp:lastPrinted>1899-12-31T22:00:00Z</cp:lastPrinted>
  <dcterms:created xsi:type="dcterms:W3CDTF">2019-10-04T11:51:00Z</dcterms:created>
  <dcterms:modified xsi:type="dcterms:W3CDTF">2019-10-04T11:51:00Z</dcterms:modified>
</cp:coreProperties>
</file>